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0"/>
          <w:lang w:eastAsia="ru-RU"/>
        </w:rPr>
      </w:pPr>
      <w:r w:rsidRPr="00C32E74"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7520" cy="55943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bCs/>
          <w:sz w:val="24"/>
          <w:szCs w:val="24"/>
          <w:lang w:eastAsia="ru-RU"/>
        </w:rPr>
        <w:t>АДМИНИСТРАЦИЯ  БОГУЧАНСКОГО РАЙОНА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gramStart"/>
      <w:r w:rsidRPr="00C32E74">
        <w:rPr>
          <w:rFonts w:ascii="Arial" w:eastAsiaTheme="minorEastAsia" w:hAnsi="Arial" w:cs="Arial"/>
          <w:bCs/>
          <w:sz w:val="24"/>
          <w:szCs w:val="24"/>
          <w:lang w:eastAsia="ru-RU"/>
        </w:rPr>
        <w:t>П</w:t>
      </w:r>
      <w:proofErr w:type="gramEnd"/>
      <w:r w:rsidRPr="00C32E7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C32E74" w:rsidRPr="00C32E74" w:rsidRDefault="00C32E74" w:rsidP="00C32E74">
      <w:pPr>
        <w:widowControl w:val="0"/>
        <w:shd w:val="clear" w:color="auto" w:fill="FFFFFF"/>
        <w:tabs>
          <w:tab w:val="left" w:pos="3571"/>
          <w:tab w:val="left" w:pos="6869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="Times New Roman" w:hAnsi="Arial" w:cs="Arial"/>
          <w:sz w:val="24"/>
          <w:szCs w:val="24"/>
          <w:lang w:eastAsia="ru-RU"/>
        </w:rPr>
        <w:t xml:space="preserve">          26.09.2019г.</w:t>
      </w:r>
      <w:r w:rsidRPr="00C32E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C32E74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с. </w:t>
      </w:r>
      <w:proofErr w:type="spellStart"/>
      <w:r w:rsidRPr="00C32E74">
        <w:rPr>
          <w:rFonts w:ascii="Arial" w:eastAsia="Times New Roman" w:hAnsi="Arial" w:cs="Arial"/>
          <w:spacing w:val="-4"/>
          <w:sz w:val="24"/>
          <w:szCs w:val="24"/>
          <w:lang w:eastAsia="ru-RU"/>
        </w:rPr>
        <w:t>Богучаны</w:t>
      </w:r>
      <w:proofErr w:type="spellEnd"/>
      <w:r w:rsidRPr="00C32E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№ 940 -</w:t>
      </w:r>
      <w:proofErr w:type="spellStart"/>
      <w:proofErr w:type="gramStart"/>
      <w:r w:rsidRPr="00C32E7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</w:p>
    <w:p w:rsidR="00C32E74" w:rsidRPr="00C32E74" w:rsidRDefault="00C32E74" w:rsidP="00C32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2E74" w:rsidRPr="00C32E74" w:rsidRDefault="00C32E74" w:rsidP="00C32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О ликвидации Управления социальной защиты  населения администрации Богучанского района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2E74" w:rsidRPr="00C32E74" w:rsidRDefault="00C32E74" w:rsidP="00C32E7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Arial" w:eastAsiaTheme="majorEastAsia" w:hAnsi="Arial" w:cs="Arial"/>
          <w:sz w:val="24"/>
          <w:szCs w:val="24"/>
          <w:lang w:eastAsia="ru-RU"/>
        </w:rPr>
      </w:pPr>
      <w:proofErr w:type="gramStart"/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C32E74">
          <w:rPr>
            <w:rFonts w:ascii="Arial" w:eastAsiaTheme="majorEastAsia" w:hAnsi="Arial" w:cs="Arial"/>
            <w:sz w:val="24"/>
            <w:szCs w:val="24"/>
            <w:lang w:eastAsia="ru-RU"/>
          </w:rPr>
          <w:t>статьями 61</w:t>
        </w:r>
      </w:hyperlink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- </w:t>
      </w:r>
      <w:hyperlink r:id="rId6" w:history="1">
        <w:r w:rsidRPr="00C32E74">
          <w:rPr>
            <w:rFonts w:ascii="Arial" w:eastAsiaTheme="majorEastAsia" w:hAnsi="Arial" w:cs="Arial"/>
            <w:sz w:val="24"/>
            <w:szCs w:val="24"/>
            <w:lang w:eastAsia="ru-RU"/>
          </w:rPr>
          <w:t>64</w:t>
        </w:r>
      </w:hyperlink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Гражданского кодекса Российской Федерации, Федеральным </w:t>
      </w:r>
      <w:hyperlink r:id="rId7" w:history="1">
        <w:r w:rsidRPr="00C32E74">
          <w:rPr>
            <w:rFonts w:ascii="Arial" w:eastAsiaTheme="majorEastAsia" w:hAnsi="Arial" w:cs="Arial"/>
            <w:sz w:val="24"/>
            <w:szCs w:val="24"/>
            <w:lang w:eastAsia="ru-RU"/>
          </w:rPr>
          <w:t>законом</w:t>
        </w:r>
      </w:hyperlink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32E74">
          <w:rPr>
            <w:rFonts w:ascii="Arial" w:eastAsiaTheme="majorEastAsia" w:hAnsi="Arial" w:cs="Arial"/>
            <w:sz w:val="24"/>
            <w:szCs w:val="24"/>
            <w:lang w:eastAsia="ru-RU"/>
          </w:rPr>
          <w:t>законом</w:t>
        </w:r>
      </w:hyperlink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от 12.01.1996 № 7-ФЗ «О некоммерческих организациях», Федеральным </w:t>
      </w:r>
      <w:hyperlink r:id="rId9" w:history="1">
        <w:r w:rsidRPr="00C32E74">
          <w:rPr>
            <w:rFonts w:ascii="Arial" w:eastAsiaTheme="majorEastAsia" w:hAnsi="Arial" w:cs="Arial"/>
            <w:sz w:val="24"/>
            <w:szCs w:val="24"/>
            <w:lang w:eastAsia="ru-RU"/>
          </w:rPr>
          <w:t>законом</w:t>
        </w:r>
      </w:hyperlink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Законом Красноярского края от 04.06.2019 № 7-2828 «О внесении изменений в Законы края о наделении органов</w:t>
      </w:r>
      <w:proofErr w:type="gramEnd"/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</w:t>
      </w:r>
      <w:proofErr w:type="gramStart"/>
      <w:r w:rsidRPr="00C32E74">
        <w:rPr>
          <w:rFonts w:ascii="Arial" w:eastAsiaTheme="majorEastAsia" w:hAnsi="Arial" w:cs="Arial"/>
          <w:sz w:val="24"/>
          <w:szCs w:val="24"/>
          <w:lang w:eastAsia="ru-RU"/>
        </w:rPr>
        <w:t>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руководствуясь Постановлением администрации Богучанского района от 11.04.2019 № 116-р «О реструктуризации сети учреждений социально обслуживания населения Богучанского района», Решением Богучанского районного Совета депутатов от 22.08.2019 № 38/1-260 «О внесении изменений в решение Богучанского районного Совета депутатов от 18.10.2018 № 28/1-207 «Об утверждении</w:t>
      </w:r>
      <w:proofErr w:type="gramEnd"/>
      <w:r w:rsidRPr="00C32E74">
        <w:rPr>
          <w:rFonts w:ascii="Arial" w:eastAsiaTheme="majorEastAsia" w:hAnsi="Arial" w:cs="Arial"/>
          <w:sz w:val="24"/>
          <w:szCs w:val="24"/>
          <w:lang w:eastAsia="ru-RU"/>
        </w:rPr>
        <w:t xml:space="preserve"> структуры администрации Богучанского района» в соответствии со статьями 7,8,43,47 Устава Богучанского района Красноярского края: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1. Ликвидировать в срок 31 декабря 2019 года Управление социальной защиты населения администрации Богучанского района (далее – УСЗН Богучанского района), учредителем которого является администрация Богучанского района.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2. Создать ликвидационную комиссию Управления социальной защиты населения администрации Богучанского района (далее – ликвидационная комиссия).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3. Утвердить полномочия ликвидационной комиссии, порядок действий ликвидационной комиссии согласно приложению № 1.</w:t>
      </w:r>
    </w:p>
    <w:p w:rsidR="00C32E74" w:rsidRPr="00C32E74" w:rsidRDefault="00C32E74" w:rsidP="00C32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4. Утвердить состав ликвидационной комиссии согласно приложению № 2.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proofErr w:type="gramStart"/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Назначить ответственным за осуществление ликвидационных процедур заместителя Главы Богучанского района по социальным вопросам И.М. Брюханова. </w:t>
      </w:r>
      <w:proofErr w:type="gramEnd"/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6. Провести работу по высвобождению </w:t>
      </w:r>
      <w:proofErr w:type="gramStart"/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начальника управления социальной защиты населения администрации</w:t>
      </w:r>
      <w:proofErr w:type="gramEnd"/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 Богучанского района в соответствии с Трудовым кодексом Российской Федерации в срок до 31.10.2019года.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proofErr w:type="gramStart"/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И.М. Брюханова.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8. По</w:t>
      </w:r>
      <w:r w:rsidRPr="00C32E74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с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тановлен</w:t>
      </w:r>
      <w:r w:rsidRPr="00C32E74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и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C32E74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вступае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C32E74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C32E74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сил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 xml:space="preserve">у 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с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C32E74">
        <w:rPr>
          <w:rFonts w:ascii="Arial" w:eastAsiaTheme="minorEastAsia" w:hAnsi="Arial" w:cs="Arial"/>
          <w:spacing w:val="3"/>
          <w:sz w:val="24"/>
          <w:szCs w:val="24"/>
          <w:lang w:eastAsia="ru-RU"/>
        </w:rPr>
        <w:t xml:space="preserve"> 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дн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C32E74">
        <w:rPr>
          <w:rFonts w:ascii="Arial" w:eastAsiaTheme="minorEastAsia" w:hAnsi="Arial" w:cs="Arial"/>
          <w:spacing w:val="1"/>
          <w:sz w:val="24"/>
          <w:szCs w:val="24"/>
          <w:lang w:eastAsia="ru-RU"/>
        </w:rPr>
        <w:t xml:space="preserve"> 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п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C32E74">
        <w:rPr>
          <w:rFonts w:ascii="Arial" w:eastAsiaTheme="minorEastAsia" w:hAnsi="Arial" w:cs="Arial"/>
          <w:spacing w:val="-1"/>
          <w:sz w:val="24"/>
          <w:szCs w:val="24"/>
          <w:lang w:eastAsia="ru-RU"/>
        </w:rPr>
        <w:t>дписани</w:t>
      </w:r>
      <w:r w:rsidRPr="00C32E74">
        <w:rPr>
          <w:rFonts w:ascii="Arial" w:eastAsiaTheme="minorEastAsia" w:hAnsi="Arial" w:cs="Arial"/>
          <w:sz w:val="24"/>
          <w:szCs w:val="24"/>
          <w:lang w:eastAsia="ru-RU"/>
        </w:rPr>
        <w:t>я, и распространяет свои полномочия с 30 сентября 2019г.</w:t>
      </w:r>
    </w:p>
    <w:p w:rsidR="00C32E74" w:rsidRPr="00C32E74" w:rsidRDefault="00C32E74" w:rsidP="00C32E74">
      <w:pPr>
        <w:widowControl w:val="0"/>
        <w:tabs>
          <w:tab w:val="left" w:pos="151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2E74">
        <w:rPr>
          <w:rFonts w:ascii="Arial" w:eastAsia="Times New Roman" w:hAnsi="Arial" w:cs="Arial"/>
          <w:sz w:val="24"/>
          <w:szCs w:val="24"/>
        </w:rPr>
        <w:t>9. По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длежи</w:t>
      </w:r>
      <w:r w:rsidRPr="00C32E74">
        <w:rPr>
          <w:rFonts w:ascii="Arial" w:eastAsia="Times New Roman" w:hAnsi="Arial" w:cs="Arial"/>
          <w:sz w:val="24"/>
          <w:szCs w:val="24"/>
        </w:rPr>
        <w:t>т</w:t>
      </w:r>
      <w:r w:rsidRPr="00C32E7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публик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вани</w:t>
      </w:r>
      <w:r w:rsidRPr="00C32E74">
        <w:rPr>
          <w:rFonts w:ascii="Arial" w:eastAsia="Times New Roman" w:hAnsi="Arial" w:cs="Arial"/>
          <w:sz w:val="24"/>
          <w:szCs w:val="24"/>
        </w:rPr>
        <w:t>ю</w:t>
      </w:r>
      <w:r w:rsidRPr="00C32E7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t xml:space="preserve">в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Официальн</w:t>
      </w:r>
      <w:r w:rsidRPr="00C32E74">
        <w:rPr>
          <w:rFonts w:ascii="Arial" w:eastAsia="Times New Roman" w:hAnsi="Arial" w:cs="Arial"/>
          <w:sz w:val="24"/>
          <w:szCs w:val="24"/>
        </w:rPr>
        <w:t>ом</w:t>
      </w:r>
      <w:r w:rsidRPr="00C32E7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вестник</w:t>
      </w:r>
      <w:r w:rsidRPr="00C32E74">
        <w:rPr>
          <w:rFonts w:ascii="Arial" w:eastAsia="Times New Roman" w:hAnsi="Arial" w:cs="Arial"/>
          <w:sz w:val="24"/>
          <w:szCs w:val="24"/>
        </w:rPr>
        <w:t>е</w:t>
      </w:r>
      <w:r w:rsidRPr="00C32E7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Богучанск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г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t>р</w:t>
      </w:r>
      <w:r w:rsidRPr="00C32E74">
        <w:rPr>
          <w:rFonts w:ascii="Arial" w:eastAsia="Times New Roman" w:hAnsi="Arial" w:cs="Arial"/>
          <w:spacing w:val="-2"/>
          <w:sz w:val="24"/>
          <w:szCs w:val="24"/>
        </w:rPr>
        <w:t>а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й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на</w:t>
      </w:r>
      <w:r w:rsidRPr="00C32E74">
        <w:rPr>
          <w:rFonts w:ascii="Arial" w:eastAsia="Times New Roman" w:hAnsi="Arial" w:cs="Arial"/>
          <w:sz w:val="24"/>
          <w:szCs w:val="24"/>
        </w:rPr>
        <w:t>,</w:t>
      </w:r>
      <w:r w:rsidRPr="00C32E7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t>а</w:t>
      </w:r>
      <w:r w:rsidRPr="00C32E7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такж</w:t>
      </w:r>
      <w:r w:rsidRPr="00C32E74">
        <w:rPr>
          <w:rFonts w:ascii="Arial" w:eastAsia="Times New Roman" w:hAnsi="Arial" w:cs="Arial"/>
          <w:sz w:val="24"/>
          <w:szCs w:val="24"/>
        </w:rPr>
        <w:t>е</w:t>
      </w:r>
      <w:r w:rsidRPr="00C32E74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размещени</w:t>
      </w:r>
      <w:r w:rsidRPr="00C32E74">
        <w:rPr>
          <w:rFonts w:ascii="Arial" w:eastAsia="Times New Roman" w:hAnsi="Arial" w:cs="Arial"/>
          <w:sz w:val="24"/>
          <w:szCs w:val="24"/>
        </w:rPr>
        <w:t>ю</w:t>
      </w:r>
      <w:r w:rsidRPr="00C32E74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C32E74">
        <w:rPr>
          <w:rFonts w:ascii="Arial" w:eastAsia="Times New Roman" w:hAnsi="Arial" w:cs="Arial"/>
          <w:sz w:val="24"/>
          <w:szCs w:val="24"/>
        </w:rPr>
        <w:t>а</w:t>
      </w:r>
      <w:r w:rsidRPr="00C32E7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фициальн</w:t>
      </w:r>
      <w:r w:rsidRPr="00C32E74">
        <w:rPr>
          <w:rFonts w:ascii="Arial" w:eastAsia="Times New Roman" w:hAnsi="Arial" w:cs="Arial"/>
          <w:sz w:val="24"/>
          <w:szCs w:val="24"/>
        </w:rPr>
        <w:t>ом</w:t>
      </w:r>
      <w:r w:rsidRPr="00C32E74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сайт</w:t>
      </w:r>
      <w:r w:rsidRPr="00C32E74">
        <w:rPr>
          <w:rFonts w:ascii="Arial" w:eastAsia="Times New Roman" w:hAnsi="Arial" w:cs="Arial"/>
          <w:sz w:val="24"/>
          <w:szCs w:val="24"/>
        </w:rPr>
        <w:t>е</w:t>
      </w:r>
      <w:r w:rsidRPr="00C32E74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Богучанск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 xml:space="preserve">го </w:t>
      </w:r>
      <w:r w:rsidRPr="00C32E74">
        <w:rPr>
          <w:rFonts w:ascii="Arial" w:eastAsia="Times New Roman" w:hAnsi="Arial" w:cs="Arial"/>
          <w:sz w:val="24"/>
          <w:szCs w:val="24"/>
        </w:rPr>
        <w:t>р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ай</w:t>
      </w:r>
      <w:r w:rsidRPr="00C32E74">
        <w:rPr>
          <w:rFonts w:ascii="Arial" w:eastAsia="Times New Roman" w:hAnsi="Arial" w:cs="Arial"/>
          <w:sz w:val="24"/>
          <w:szCs w:val="24"/>
        </w:rPr>
        <w:t>о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C32E74">
        <w:rPr>
          <w:rFonts w:ascii="Arial" w:eastAsia="Times New Roman" w:hAnsi="Arial" w:cs="Arial"/>
          <w:sz w:val="24"/>
          <w:szCs w:val="24"/>
        </w:rPr>
        <w:t>а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2E74">
        <w:rPr>
          <w:rFonts w:ascii="Arial" w:eastAsia="Times New Roman" w:hAnsi="Arial" w:cs="Arial"/>
          <w:sz w:val="24"/>
          <w:szCs w:val="24"/>
        </w:rPr>
        <w:lastRenderedPageBreak/>
        <w:t>(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ww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w</w:t>
      </w:r>
      <w:r w:rsidRPr="00C32E74">
        <w:rPr>
          <w:rFonts w:ascii="Arial" w:eastAsia="Times New Roman" w:hAnsi="Arial" w:cs="Arial"/>
          <w:spacing w:val="-1"/>
          <w:sz w:val="24"/>
          <w:szCs w:val="24"/>
        </w:rPr>
        <w:t>.</w:t>
      </w:r>
      <w:proofErr w:type="spellStart"/>
      <w:r w:rsidRPr="00C32E74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og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u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c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h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a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s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k</w:t>
      </w:r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y</w:t>
      </w:r>
      <w:proofErr w:type="spellEnd"/>
      <w:r w:rsidRPr="00C32E74">
        <w:rPr>
          <w:rFonts w:ascii="Arial" w:eastAsia="Times New Roman" w:hAnsi="Arial" w:cs="Arial"/>
          <w:spacing w:val="-1"/>
          <w:sz w:val="24"/>
          <w:szCs w:val="24"/>
        </w:rPr>
        <w:t>-</w:t>
      </w:r>
      <w:proofErr w:type="spellStart"/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rai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on</w:t>
      </w:r>
      <w:proofErr w:type="spellEnd"/>
      <w:r w:rsidRPr="00C32E74">
        <w:rPr>
          <w:rFonts w:ascii="Arial" w:eastAsia="Times New Roman" w:hAnsi="Arial" w:cs="Arial"/>
          <w:spacing w:val="-1"/>
          <w:sz w:val="24"/>
          <w:szCs w:val="24"/>
        </w:rPr>
        <w:t>.</w:t>
      </w:r>
      <w:proofErr w:type="spellStart"/>
      <w:r w:rsidRPr="00C32E74">
        <w:rPr>
          <w:rFonts w:ascii="Arial" w:eastAsia="Times New Roman" w:hAnsi="Arial" w:cs="Arial"/>
          <w:spacing w:val="-1"/>
          <w:sz w:val="24"/>
          <w:szCs w:val="24"/>
          <w:lang w:val="en-US"/>
        </w:rPr>
        <w:t>r</w:t>
      </w:r>
      <w:r w:rsidRPr="00C32E74">
        <w:rPr>
          <w:rFonts w:ascii="Arial" w:eastAsia="Times New Roman" w:hAnsi="Arial" w:cs="Arial"/>
          <w:sz w:val="24"/>
          <w:szCs w:val="24"/>
          <w:lang w:val="en-US"/>
        </w:rPr>
        <w:t>u</w:t>
      </w:r>
      <w:proofErr w:type="spellEnd"/>
      <w:r w:rsidRPr="00C32E74">
        <w:rPr>
          <w:rFonts w:ascii="Arial" w:eastAsia="Times New Roman" w:hAnsi="Arial" w:cs="Arial"/>
          <w:sz w:val="24"/>
          <w:szCs w:val="24"/>
        </w:rPr>
        <w:t>).</w:t>
      </w:r>
    </w:p>
    <w:p w:rsidR="00C32E74" w:rsidRPr="00C32E74" w:rsidRDefault="00C32E74" w:rsidP="00C32E7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pacing w:val="-15"/>
          <w:sz w:val="24"/>
          <w:szCs w:val="24"/>
          <w:lang w:eastAsia="ru-RU"/>
        </w:rPr>
      </w:pPr>
    </w:p>
    <w:p w:rsidR="00C32E74" w:rsidRPr="00C32E74" w:rsidRDefault="00C32E74" w:rsidP="00C32E7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pacing w:val="-15"/>
          <w:sz w:val="24"/>
          <w:szCs w:val="24"/>
          <w:lang w:eastAsia="ru-RU"/>
        </w:rPr>
      </w:pPr>
      <w:r w:rsidRPr="00C32E74">
        <w:rPr>
          <w:rFonts w:ascii="Arial" w:eastAsiaTheme="minorEastAsia" w:hAnsi="Arial" w:cs="Arial"/>
          <w:spacing w:val="-15"/>
          <w:sz w:val="24"/>
          <w:szCs w:val="24"/>
          <w:lang w:eastAsia="ru-RU"/>
        </w:rPr>
        <w:t>И.о. Главы Богучанского района                                                      В.Р. Саар</w:t>
      </w:r>
    </w:p>
    <w:tbl>
      <w:tblPr>
        <w:tblStyle w:val="3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4786"/>
      </w:tblGrid>
      <w:tr w:rsidR="00C32E74" w:rsidRPr="00C32E74" w:rsidTr="00E05821">
        <w:tc>
          <w:tcPr>
            <w:tcW w:w="4066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6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18"/>
                <w:szCs w:val="20"/>
              </w:rPr>
            </w:pP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18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18"/>
                <w:szCs w:val="20"/>
              </w:rPr>
              <w:t xml:space="preserve">Приложение № 1 </w:t>
            </w: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18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18"/>
                <w:szCs w:val="20"/>
              </w:rPr>
              <w:t>к постановлению администрации Богучанского района</w:t>
            </w: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18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18"/>
                <w:szCs w:val="20"/>
              </w:rPr>
              <w:t>от 26.09.2019 №  940-п</w:t>
            </w:r>
          </w:p>
        </w:tc>
      </w:tr>
      <w:tr w:rsidR="00C32E74" w:rsidRPr="00C32E74" w:rsidTr="00E05821">
        <w:tc>
          <w:tcPr>
            <w:tcW w:w="4066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6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18"/>
                <w:szCs w:val="20"/>
              </w:rPr>
            </w:pPr>
          </w:p>
        </w:tc>
      </w:tr>
    </w:tbl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Порядок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действий ликвидационной комиссии Управления социальной защиты населения администрации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Богучанского района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1. В течение трех дней со дня вступления в силу настоящего постановления администрации Богучанского района «О ликвидации Управления социальной защиты населения администрации Богучанского района» сообщить в регистрирующий орган (МРИ ФНС № 8 по Красноярскому краю) о принятом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решении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о ликвидации УСЗН Богучанского района (с приложением постановления в письменной форме).</w:t>
      </w:r>
    </w:p>
    <w:p w:rsidR="00C32E74" w:rsidRPr="00C32E74" w:rsidRDefault="00C32E74" w:rsidP="00C32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C32E74">
        <w:rPr>
          <w:rFonts w:ascii="Arial" w:eastAsia="Times New Roman" w:hAnsi="Arial" w:cs="Arial"/>
          <w:kern w:val="32"/>
          <w:sz w:val="20"/>
          <w:szCs w:val="20"/>
          <w:lang w:eastAsia="ru-RU"/>
        </w:rPr>
        <w:t>Уведомление направляется по форме № Р15001</w:t>
      </w:r>
      <w:r w:rsidRPr="00C32E74">
        <w:rPr>
          <w:rFonts w:ascii="Arial" w:eastAsia="Times New Roman" w:hAnsi="Arial" w:cs="Arial"/>
          <w:b/>
          <w:kern w:val="32"/>
          <w:sz w:val="20"/>
          <w:szCs w:val="20"/>
          <w:lang w:eastAsia="ru-RU"/>
        </w:rPr>
        <w:t xml:space="preserve"> (</w:t>
      </w:r>
      <w:r w:rsidRPr="00C32E74">
        <w:rPr>
          <w:rFonts w:ascii="Arial" w:eastAsia="Times New Roman" w:hAnsi="Arial" w:cs="Arial"/>
          <w:kern w:val="32"/>
          <w:sz w:val="20"/>
          <w:szCs w:val="20"/>
          <w:lang w:eastAsia="ru-RU"/>
        </w:rPr>
        <w:t>Уведомление о ликвидации юридического лица), утвержденной Приказом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2.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Срок для заявления требований кредиторами - два месяца с момента опубликования сообщения о ликвидации.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Место размещения публикации: "Вестник государственной регистрации" (Приказ Федеральной налоговой службы от 16.06.2006 № САЭ-3-09/355@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Расходы: согласно действующему тарифу.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sub_10292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3. В 10-дневный срок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 даты истечения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периода, установленного для предъявления требований кредиторами, Глава Богучанского района утверждает промежуточный ликвидационный баланс.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293"/>
      <w:bookmarkEnd w:id="0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4. Председатель ликвидационной комиссии сообщает в регистрирующий орган (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МРИ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ФНС № 8 по Красноярскому краю) о составлении промежуточного ликвидационного баланса.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Срок для направления сообщения в регистрирующий орган 3 дня со дня утверждения промежуточного ликвидационного баланса.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Заместитель председателя ликвидационной комиссии предоставляет в территориальный орган Пенсионного фонда Российской Федерации сведения в соответствии с </w:t>
      </w:r>
      <w:hyperlink r:id="rId10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подпунктами 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hyperlink r:id="rId11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8 пункта 2 статьи 6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r:id="rId12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пунктом 2 статьи 11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</w:r>
      <w:hyperlink r:id="rId13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частью 4 статьи 9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«О дополнительных страховых взносах на накопительную пенсию и государственной поддержке формирования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пенсионных накоплений».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6.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w:anchor="sub_64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статьей 64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ГК РФ, в соответствии с промежуточным ликвидационным балансом со дня его утверждения.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7. После завершения расчетов с кредиторами ликвидационная комиссия уведомляет регистрирующий орган (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МРИ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ФНС № 8 по Красноярскому краю) о завершении процесса ликвидации.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Срок для направления уведомления – не ранее 2 месяцев с момента помещения в органах печати ликвидационной комиссией публикации о ликвидации юридического лица.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8. После завершения расчетов с кредиторами ликвидационная комиссия составляет ликвидационный баланс.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9. В 10-дневный срок после завершения расчетов с кредиторами Глава Богучанского района утверждает ликвидационный баланс.</w:t>
      </w:r>
    </w:p>
    <w:bookmarkEnd w:id="1"/>
    <w:p w:rsidR="00C32E74" w:rsidRPr="00C32E74" w:rsidRDefault="00C32E74" w:rsidP="00C32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C32E74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10. Председатель ликвидационной комиссии предоставляет в регистрирующий орган (</w:t>
      </w:r>
      <w:proofErr w:type="gramStart"/>
      <w:r w:rsidRPr="00C32E74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МРИ</w:t>
      </w:r>
      <w:proofErr w:type="gramEnd"/>
      <w:r w:rsidRPr="00C32E74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ФНС № 8 по Красноярскому краю):</w:t>
      </w:r>
    </w:p>
    <w:p w:rsidR="00C32E74" w:rsidRPr="00C32E74" w:rsidRDefault="00C32E74" w:rsidP="00C32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C32E74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1. подписанное заявителем заявление о государственной регистрации по </w:t>
      </w:r>
      <w:hyperlink r:id="rId14" w:history="1">
        <w:r w:rsidRPr="00C32E74">
          <w:rPr>
            <w:rFonts w:ascii="Arial" w:eastAsia="Times New Roman" w:hAnsi="Arial" w:cs="Arial"/>
            <w:bCs/>
            <w:kern w:val="32"/>
            <w:sz w:val="20"/>
            <w:szCs w:val="20"/>
            <w:lang w:eastAsia="ru-RU"/>
          </w:rPr>
          <w:t>форме</w:t>
        </w:r>
      </w:hyperlink>
      <w:r w:rsidRPr="00C32E74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№ Р16001 (Заявление о государственной регистрации юридического лица в связи с его ликвидацией);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2. ликвидационный баланс;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3. документ об уплате </w:t>
      </w:r>
      <w:hyperlink r:id="rId15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государственной пошлины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, расходы: согласно действующему </w:t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тарифу.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4.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16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подпунктами 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hyperlink r:id="rId17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8 пункта 2 статьи 6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r:id="rId18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пунктом 2 статьи 11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</w:r>
      <w:hyperlink r:id="rId19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частью 4 статьи 9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накоплений».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11. Место публикации: «Вестник государственной регистрации» (Приказ Федеральной налоговой службы от 16.06.2006 № 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Сведения о принятых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решениях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о предстоящем исключении недействующих юридических лиц из ЕГРЮЛ в журнал «Вестник государственной регистрации» представляют налоговые органы, осуществляющие государственную регистрацию юридических лиц (регистрирующие органы).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Порядок действий работодателя: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1. Уведомить за три месяца КГКУ Центр занятости населения Богучанского района (далее по тексту - центр занятости населения) о массовом высвобождении работников (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. 2 ст. 25 Закона РФ от 19.04.1991 № 1032-1 «О занятости населения в Российской Федерации»).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>Форма информации о массовом высвобождении работников, утверждена Постановлением Правительства РФ от 05.02.1993 № 99 «Об организации работы по содействию занятости в условиях массового высвобождения».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2. Уведомить работников не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позднее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чем за 2 месяца до увольнения.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Работник считается надлежащим </w:t>
      </w:r>
      <w:proofErr w:type="gramStart"/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>образом</w:t>
      </w:r>
      <w:proofErr w:type="gramEnd"/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 предупрежденным о предстоящем увольнении, если он ознакомился с уведомлением под подпись.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>Если работник отказывается поставить подпись, то оформляется соответствующий акт. В случае отсутствия работника на рабочем месте по какой-либо причине (отпуск, болезнь) работодателю следует вызвать его и ознакомить с уведомлением под подпись. Если же сделать это невозможно, то рекомендуется направить по почте письмо с описью вложения и уведомлением о вручении. Течение двухмесячного срока предупреждения в таком случае начнется с того момента, как работник расписался на уведомлении о вручении.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3. Определить круг работников, которые будут приняты в новое учреждение. Предложить им уволиться по соглашению сторон (п. 1 ст. 77 ТК РФ). Остальным работникам предложить уволиться п. 1 ст. 81 ТК РФ (в связи с ликвидацией УСЗН Богучанского района).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4. Запланировать денежные обязательства на оплату выходного пособия в размере среднего месячного заработка, которые подлежат выплате единовременно при увольнении (ст. 178 ТК РФ).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5. Запланировать денежные обязательства на оплату выходного пособия в размере среднего заработка за второй, третий месяц, в случае, если работник в течение двух недель со дня увольнения обратился в центр занятости населения, но не был трудоустроен (ст. 178 ТК РФ).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6. Запланировать денежные обязательства на оплату выходного пособия в размере среднего заработка за четвертый, пятый и шестой месяц, в случае, если работник в течение месяца со дня увольнения обратились в центр занятости населения, но не был трудоустроен (ст. 318 ТК РФ). Решение о выплате принимает центр занятости населения.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7. Всем работникам подготовить соглашения о расторжении трудовых договоров и справки о доходах для предъявления в центр занятости населения, новому работодателю, внести записи в трудовые книжки.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bCs/>
          <w:sz w:val="20"/>
          <w:szCs w:val="20"/>
          <w:lang w:eastAsia="ru-RU"/>
        </w:rPr>
        <w:t>Приказ о расторжении трудового договора составляется по унифицированной</w:t>
      </w:r>
      <w:r w:rsidRPr="00C32E7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hyperlink r:id="rId20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форме № Т-8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. В нем указывается, что трудовые отношения прекращаются согласно </w:t>
      </w:r>
      <w:hyperlink r:id="rId21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1 ч. 1 ст. 81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ТК РФ в связи с ликвидацией организации. В приказе также приводится ссылка на решение о ликвидации юридического лица, отражаются реквизиты уведомления об увольнении, а в случае досрочного расторжения договора - реквизиты соответствующего заявления.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Помимо приказа составляется записка-расчет.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Запись о расторжении трудового договора в связи с ликвидацией организации вносится в трудовую книжку со ссылкой на </w:t>
      </w:r>
      <w:hyperlink r:id="rId22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1 ч. 1 ст. 81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ТК РФ.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По общему правилу все записи, которые внесены в трудовую книжку за время работы у данного работодателя, заверяются подписями работника, ответственного за ведение трудовых книжек, и увольняемого работника, а также печатью работодателя (</w:t>
      </w:r>
      <w:hyperlink r:id="rId23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35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№ 225)).</w:t>
      </w:r>
      <w:proofErr w:type="gramEnd"/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Трудовая книжка выдается работнику в день прекращения трудового договора (</w:t>
      </w:r>
      <w:hyperlink r:id="rId24" w:history="1">
        <w:proofErr w:type="gramStart"/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ч</w:t>
        </w:r>
        <w:proofErr w:type="gramEnd"/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. 4 ст. 84.1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ТК РФ). При ее получении работник должен расписаться в личной карточке и в книге учета </w:t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движения трудовых книжек и вкладышей в них (</w:t>
      </w:r>
      <w:proofErr w:type="spellStart"/>
      <w:r w:rsidRPr="00C32E74">
        <w:rPr>
          <w:rFonts w:ascii="Arial" w:hAnsi="Arial" w:cs="Arial"/>
        </w:rPr>
        <w:fldChar w:fldCharType="begin"/>
      </w:r>
      <w:r w:rsidRPr="00C32E74">
        <w:rPr>
          <w:rFonts w:ascii="Arial" w:hAnsi="Arial" w:cs="Arial"/>
        </w:rPr>
        <w:instrText>HYPERLINK "consultantplus://offline/ref=19762036A20000A8ED8179EC5D44E325F924DC20C8539823B056A6D661C0EC4B5BCB0C82FCDBB391A9i5G"</w:instrText>
      </w:r>
      <w:r w:rsidRPr="00C32E74">
        <w:rPr>
          <w:rFonts w:ascii="Arial" w:hAnsi="Arial" w:cs="Arial"/>
        </w:rPr>
        <w:fldChar w:fldCharType="separate"/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абз</w:t>
      </w:r>
      <w:proofErr w:type="spell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. 3 п. 41</w:t>
      </w:r>
      <w:r w:rsidRPr="00C32E74">
        <w:rPr>
          <w:rFonts w:ascii="Arial" w:hAnsi="Arial" w:cs="Arial"/>
        </w:rPr>
        <w:fldChar w:fldCharType="end"/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указанных Правил).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В личную карточку (унифицированная </w:t>
      </w:r>
      <w:hyperlink r:id="rId25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форма № Т-2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) вносится запись о расторжении трудового договора в связи с ликвидацией организации по основаниям </w:t>
      </w:r>
      <w:hyperlink r:id="rId26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1 ч. 1 ст. 81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ТК РФ. При получении трудовой книжки работник должен расписаться в личной карточке (</w:t>
      </w:r>
      <w:hyperlink r:id="rId27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41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Постановления Правительства РФ от 16.04.2003 N 225 «О трудовых книжках»).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По заявлению работника выдаются: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справка в центр занятости населения составляется по форме, рекомендованной в Письме Минтруда России от 15.08.2016 № 16-5/В-421;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справка о доходах и суммах налога физического лица по </w:t>
      </w:r>
      <w:hyperlink r:id="rId28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форме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, утвержденной </w:t>
      </w:r>
      <w:hyperlink r:id="rId29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приказом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ФНС России от 02.10.2018 № ММВ-7-11/566@ (</w:t>
      </w:r>
      <w:hyperlink r:id="rId30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3 ст. 230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НК РФ).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В обязательном порядке работнику выдается: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справка о сумме заработка за два календарных года, предшествующих году прекращения работы,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законодательством РФ, если на сохраняемую заработную плату за этот период страховые взносы в ФСС России не начислялись (</w:t>
      </w:r>
      <w:hyperlink r:id="rId31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3 ч. 2 ст. 4.1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29.12.2006 № 255-ФЗ). </w:t>
      </w:r>
      <w:hyperlink r:id="rId32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Форма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справки и </w:t>
      </w:r>
      <w:hyperlink r:id="rId33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порядок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ее выдачи утверждены </w:t>
      </w:r>
      <w:hyperlink r:id="rId34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приказом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Минтруда России от 30.04.2013 № 182н;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документы, содержащие сведения о работнике, предусмотренные </w:t>
      </w:r>
      <w:hyperlink r:id="rId35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пунктами 2 - 2.3 ст. 11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01.04.1996 № 27-ФЗ «Об индивидуальном (персонифицированном) учете в системе обязательного пенсионного страхования» (</w:t>
      </w:r>
      <w:hyperlink r:id="rId36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4 ст. 11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этого закона). Поскольку специальных форм для передачи таких сведений работнику не предусмотрено, следует использовать формы, предназначенные для представления тех же сведений в налоговые органы и органы ПФР.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8. Работодатель обязан сообщить в течение двух недель в отдел военного комиссариата муниципального образования и (или) орган местного самоуправления об увольнении работника, подлежащего воинскому учету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proofErr w:type="spellStart"/>
      <w:r w:rsidRPr="00C32E74">
        <w:rPr>
          <w:rFonts w:ascii="Arial" w:hAnsi="Arial" w:cs="Arial"/>
        </w:rPr>
        <w:fldChar w:fldCharType="begin"/>
      </w:r>
      <w:r w:rsidRPr="00C32E74">
        <w:rPr>
          <w:rFonts w:ascii="Arial" w:hAnsi="Arial" w:cs="Arial"/>
        </w:rPr>
        <w:instrText>HYPERLINK "consultantplus://offline/ref=B929134F3D6706886907B81BC0BCEEAC2F7ABCDF00F8317D2603C9777E4EA26300CB6DB8025E6A742CH2H"</w:instrText>
      </w:r>
      <w:r w:rsidRPr="00C32E74">
        <w:rPr>
          <w:rFonts w:ascii="Arial" w:hAnsi="Arial" w:cs="Arial"/>
        </w:rPr>
        <w:fldChar w:fldCharType="separate"/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п</w:t>
      </w:r>
      <w:proofErr w:type="spell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. «а» п. 29</w:t>
      </w:r>
      <w:r w:rsidRPr="00C32E74">
        <w:rPr>
          <w:rFonts w:ascii="Arial" w:hAnsi="Arial" w:cs="Arial"/>
        </w:rPr>
        <w:fldChar w:fldCharType="end"/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Методических рекомендаций по ведению воинского учета в организациях, утвержденных Минобороны России 11.07.2017, и </w:t>
      </w:r>
      <w:hyperlink r:id="rId37" w:history="1">
        <w:proofErr w:type="spellStart"/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пп</w:t>
        </w:r>
        <w:proofErr w:type="spellEnd"/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. «а» п. 32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Положения о воинском учете, утвержденного Постановлением Правительства РФ от 27.11.2006 № 719.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Сведения об увольняемом подаются по </w:t>
      </w:r>
      <w:hyperlink r:id="rId38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форме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>, приведенной в Приложении № 9 к указанным Методическим рекомендациям).</w:t>
      </w:r>
      <w:proofErr w:type="gramEnd"/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9. Работодатель обязан не позднее дня, следующего за днем увольнения работника-должника, вернуть (</w:t>
      </w:r>
      <w:hyperlink r:id="rId39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п. 2 ч. 4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r:id="rId40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ч. 4.1 ст. 98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02.10.2007 № 229-ФЗ, </w:t>
      </w:r>
      <w:hyperlink r:id="rId41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ч. 3 ст. 84.1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ТК РФ):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- судебному приставу-исполнителю - поступившую от него копию исполнительного документа.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На ней необходимо указать, что исполнение завершено в связи с переменой должником места работы, а также взысканную сумму (при частичном исполнении);</w:t>
      </w:r>
      <w:proofErr w:type="gramEnd"/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- взыскателю - исполнительный документ, на котором следует указать, что исполнение завершено в связи с переменой должником места работы, взысканную сумму (при частичном исполнении), а также период, в течение которого исполнительный документ находился на исполнении.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10. Подготовить архив документов постоянного хранения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согласно перечня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, архива Богучанского района.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11. Документы, подлежащие хранению, но не принятые архивом Богучанского района, передать на хранение в новую организацию на основании договора хранения на период – до истечения срока хранения.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Полномочие ликвидационной </w:t>
      </w:r>
      <w:proofErr w:type="gramStart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комиссии Управления социальной защиты населения администрации</w:t>
      </w:r>
      <w:proofErr w:type="gramEnd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Богучанского района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1. Управлять делами ликвидируемого учреждения в течение всего периода его ликвидации.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2. Выступать в суде от имени ликвидируемого юридического лица.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3. Действовать добросовестно и разумно в интересах ликвидируемого юридического лица.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sub_63012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4. Принимает меры по выявлению кредиторов.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5. Принимает меры по получению дебиторской задолженности.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>6. Уведомляет в письменной форме кредиторов о ликвидации юридического лица.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7. Производить выплату денежных сумм кредиторам ликвидируемого юридического лица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sub_62042"/>
      <w:bookmarkEnd w:id="2"/>
      <w:r w:rsidRPr="00C32E74">
        <w:rPr>
          <w:rFonts w:ascii="Arial" w:eastAsiaTheme="minorEastAsia" w:hAnsi="Arial" w:cs="Arial"/>
          <w:sz w:val="20"/>
          <w:szCs w:val="20"/>
          <w:lang w:eastAsia="ru-RU"/>
        </w:rPr>
        <w:t>8. Решения ликвидационной комиссии оформляются протоколом.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9. 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</w:t>
      </w:r>
      <w:hyperlink r:id="rId42" w:history="1">
        <w:r w:rsidRPr="00C32E74">
          <w:rPr>
            <w:rFonts w:ascii="Arial" w:eastAsiaTheme="minorEastAsia" w:hAnsi="Arial" w:cs="Arial"/>
            <w:sz w:val="20"/>
            <w:szCs w:val="20"/>
            <w:lang w:eastAsia="ru-RU"/>
          </w:rPr>
          <w:t>законодательством</w:t>
        </w:r>
      </w:hyperlink>
      <w:r w:rsidRPr="00C32E74">
        <w:rPr>
          <w:rFonts w:ascii="Arial" w:eastAsiaTheme="minorEastAsia" w:hAnsi="Arial" w:cs="Arial"/>
          <w:sz w:val="20"/>
          <w:szCs w:val="20"/>
          <w:lang w:eastAsia="ru-RU"/>
        </w:rPr>
        <w:t xml:space="preserve"> о </w:t>
      </w:r>
      <w:r w:rsidRPr="00C32E74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несостоятельности (банкротстве).</w:t>
      </w:r>
    </w:p>
    <w:bookmarkEnd w:id="3"/>
    <w:tbl>
      <w:tblPr>
        <w:tblStyle w:val="3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4785"/>
      </w:tblGrid>
      <w:tr w:rsidR="00C32E74" w:rsidRPr="00C32E74" w:rsidTr="00E05821">
        <w:tc>
          <w:tcPr>
            <w:tcW w:w="4065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5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Приложение № 2</w:t>
            </w: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 постановлению администрации </w:t>
            </w: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Богучанского района</w:t>
            </w:r>
          </w:p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32E74">
              <w:rPr>
                <w:rFonts w:ascii="Arial" w:eastAsia="Times New Roman" w:hAnsi="Arial" w:cs="Arial"/>
                <w:spacing w:val="-3"/>
                <w:sz w:val="18"/>
                <w:szCs w:val="20"/>
              </w:rPr>
              <w:t>от 26.09.2019  №  940-п</w:t>
            </w:r>
          </w:p>
        </w:tc>
      </w:tr>
      <w:tr w:rsidR="00C32E74" w:rsidRPr="00C32E74" w:rsidTr="00E05821">
        <w:tc>
          <w:tcPr>
            <w:tcW w:w="4065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5" w:type="dxa"/>
          </w:tcPr>
          <w:p w:rsidR="00C32E74" w:rsidRPr="00C32E74" w:rsidRDefault="00C32E74" w:rsidP="00E05821">
            <w:pPr>
              <w:widowControl w:val="0"/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32E74" w:rsidRPr="00C32E74" w:rsidRDefault="00C32E74" w:rsidP="00C32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C32E74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Состав </w:t>
      </w:r>
      <w:r w:rsidRPr="00C32E7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ликвидационной </w:t>
      </w:r>
      <w:proofErr w:type="gramStart"/>
      <w:r w:rsidRPr="00C32E7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комиссии  Управления социальной защиты населения  администрации</w:t>
      </w:r>
      <w:proofErr w:type="gramEnd"/>
      <w:r w:rsidRPr="00C32E7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Богучанского района </w:t>
      </w:r>
    </w:p>
    <w:p w:rsidR="00C32E74" w:rsidRPr="00C32E74" w:rsidRDefault="00C32E74" w:rsidP="00C32E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297"/>
        <w:gridCol w:w="6165"/>
      </w:tblGrid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Колесова Марина Михайловна </w:t>
            </w: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Начальник Управления социальной защиты населения администрации Богучанского района, </w:t>
            </w:r>
            <w:r w:rsidRPr="00C32E74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председатель ликвидационной комиссии</w:t>
            </w:r>
          </w:p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Руденко Ольга Аркадьевна</w:t>
            </w: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Начальник отдела учета, отчетности бюджетного планирования и исполнения – главный бухгалтер </w:t>
            </w: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Управления социальной защиты </w:t>
            </w:r>
            <w:r w:rsidRPr="00C32E74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населения</w:t>
            </w: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2E74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администрации </w:t>
            </w:r>
            <w:r w:rsidRPr="00C32E74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Богучанского района,</w:t>
            </w:r>
            <w:r w:rsidRPr="00C32E7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заместитель председателя ликвидационной комиссии</w:t>
            </w: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Паль Ольга Эрнстовна </w:t>
            </w: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C32E74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Ведущий</w:t>
            </w: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2E74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специалист-юрист </w:t>
            </w: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Управления социальной защиты </w:t>
            </w:r>
            <w:r w:rsidRPr="00C32E74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населения</w:t>
            </w: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2E74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администрации </w:t>
            </w:r>
            <w:r w:rsidRPr="00C32E74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Богучанского района, секретарь ликвидационной комиссии</w:t>
            </w:r>
          </w:p>
          <w:p w:rsidR="00C32E74" w:rsidRPr="00C32E74" w:rsidRDefault="00C32E74" w:rsidP="00E05821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32E74" w:rsidRPr="00C32E74" w:rsidTr="00E05821">
        <w:tc>
          <w:tcPr>
            <w:tcW w:w="9462" w:type="dxa"/>
            <w:gridSpan w:val="2"/>
          </w:tcPr>
          <w:p w:rsidR="00C32E74" w:rsidRPr="00C32E74" w:rsidRDefault="00C32E74" w:rsidP="00E05821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Члены ликвидационной комиссии:</w:t>
            </w:r>
          </w:p>
        </w:tc>
      </w:tr>
      <w:tr w:rsidR="00C32E74" w:rsidRPr="00C32E74" w:rsidTr="00E05821">
        <w:tc>
          <w:tcPr>
            <w:tcW w:w="9462" w:type="dxa"/>
            <w:gridSpan w:val="2"/>
          </w:tcPr>
          <w:p w:rsidR="00C32E74" w:rsidRPr="00C32E74" w:rsidRDefault="00C32E74" w:rsidP="00E05821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Заместитель Главы Богучанского района по экономике и планированию </w:t>
            </w:r>
          </w:p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  <w:shd w:val="clear" w:color="auto" w:fill="auto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Брюханов</w:t>
            </w:r>
            <w:proofErr w:type="gramEnd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 Иван Маркович </w:t>
            </w:r>
          </w:p>
        </w:tc>
        <w:tc>
          <w:tcPr>
            <w:tcW w:w="6165" w:type="dxa"/>
            <w:shd w:val="clear" w:color="auto" w:fill="auto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Заместитель Главы Богучанского района по социальным вопросам </w:t>
            </w:r>
          </w:p>
        </w:tc>
      </w:tr>
      <w:tr w:rsidR="00C32E74" w:rsidRPr="00C32E74" w:rsidTr="00E05821">
        <w:trPr>
          <w:trHeight w:val="421"/>
        </w:trPr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Монахова</w:t>
            </w:r>
            <w:proofErr w:type="spellEnd"/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 xml:space="preserve"> Валентина Ивановна </w:t>
            </w: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C32E74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И.о. начальника Финансового управления администрации Богучанского района</w:t>
            </w: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5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2E74" w:rsidRPr="00C32E74" w:rsidTr="00E05821">
        <w:tc>
          <w:tcPr>
            <w:tcW w:w="3297" w:type="dxa"/>
          </w:tcPr>
          <w:p w:rsidR="00C32E74" w:rsidRPr="00C32E74" w:rsidRDefault="00C32E74" w:rsidP="00E0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hyperlink r:id="rId43" w:tooltip="Подробнее" w:history="1">
              <w:r w:rsidRPr="00C32E7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Шмелев Михаил Игоревич</w:t>
              </w:r>
            </w:hyperlink>
          </w:p>
        </w:tc>
        <w:tc>
          <w:tcPr>
            <w:tcW w:w="6165" w:type="dxa"/>
          </w:tcPr>
          <w:p w:rsidR="00C32E74" w:rsidRPr="00C32E74" w:rsidRDefault="00C32E74" w:rsidP="00E05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 категории отдела по управлению муниципальным имуществом Управления муниципальной собственности Богучанского района</w:t>
            </w:r>
          </w:p>
        </w:tc>
      </w:tr>
    </w:tbl>
    <w:p w:rsidR="002B6D97" w:rsidRDefault="00C32E74"/>
    <w:sectPr w:rsidR="002B6D97" w:rsidSect="002F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E74"/>
    <w:rsid w:val="00185BA1"/>
    <w:rsid w:val="002F31E9"/>
    <w:rsid w:val="004B68CA"/>
    <w:rsid w:val="00C3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9">
    <w:name w:val="Сетка таблицы39"/>
    <w:basedOn w:val="a1"/>
    <w:next w:val="a3"/>
    <w:uiPriority w:val="59"/>
    <w:rsid w:val="00C32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C3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C32E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05B6B03324109E630BB165D69240210A399F9F2A5A4DFDF991326AB42BCCF267A1B651J5UFI" TargetMode="External"/><Relationship Id="rId13" Type="http://schemas.openxmlformats.org/officeDocument/2006/relationships/hyperlink" Target="consultantplus://offline/ref=18FD57E61B8A8F18E7A4EEC1152B5CB477D4E73F014E1D5C1EA73EFBA71C06A4367806A7DAD5D036u4S1E" TargetMode="External"/><Relationship Id="rId18" Type="http://schemas.openxmlformats.org/officeDocument/2006/relationships/hyperlink" Target="consultantplus://offline/ref=18FD57E61B8A8F18E7A4EEC1152B5CB474D2E33401471D5C1EA73EFBA71C06A4367806A7DAD5D333u4S4E" TargetMode="External"/><Relationship Id="rId26" Type="http://schemas.openxmlformats.org/officeDocument/2006/relationships/hyperlink" Target="consultantplus://offline/ref=10BAE3ED701657170FCBA0D56ADF1FC67B89E4C65BAE7EBA0AF7CE817BF3585425521CC4DDx2i2G" TargetMode="External"/><Relationship Id="rId39" Type="http://schemas.openxmlformats.org/officeDocument/2006/relationships/hyperlink" Target="consultantplus://offline/ref=5540789DA1FE03DC7544436F5EB0927CA7C227F729909A5C0A459ED73F2BA4A54AE1A26059J3N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A969AE9BB234937153879D56DCFC03341FF0DF22F841202D5DD45386030A4B9E74504ABAQ4hEG" TargetMode="External"/><Relationship Id="rId34" Type="http://schemas.openxmlformats.org/officeDocument/2006/relationships/hyperlink" Target="garantF1://70294534.0" TargetMode="External"/><Relationship Id="rId42" Type="http://schemas.openxmlformats.org/officeDocument/2006/relationships/hyperlink" Target="garantF1://85181.11010" TargetMode="External"/><Relationship Id="rId7" Type="http://schemas.openxmlformats.org/officeDocument/2006/relationships/hyperlink" Target="consultantplus://offline/ref=9AE3238E685AA518B88805B6B03324109E630FBF6BD59240210A399F9F2A5A4DFDF991326AB42BCCF267A1B651J5UFI" TargetMode="External"/><Relationship Id="rId12" Type="http://schemas.openxmlformats.org/officeDocument/2006/relationships/hyperlink" Target="consultantplus://offline/ref=18FD57E61B8A8F18E7A4EEC1152B5CB474D2E33401471D5C1EA73EFBA71C06A4367806A7DAD5D333u4S4E" TargetMode="External"/><Relationship Id="rId17" Type="http://schemas.openxmlformats.org/officeDocument/2006/relationships/hyperlink" Target="consultantplus://offline/ref=18FD57E61B8A8F18E7A4EEC1152B5CB474D2E33401471D5C1EA73EFBA71C06A4367806A7DAD5D231u4S4E" TargetMode="External"/><Relationship Id="rId25" Type="http://schemas.openxmlformats.org/officeDocument/2006/relationships/hyperlink" Target="consultantplus://offline/ref=10BAE3ED701657170FCBA0D56ADF1FC67D86E1C05FA623B002AEC2837CFC0743221B10C0D42487x7i3G" TargetMode="External"/><Relationship Id="rId33" Type="http://schemas.openxmlformats.org/officeDocument/2006/relationships/hyperlink" Target="garantF1://70294534.2000" TargetMode="External"/><Relationship Id="rId38" Type="http://schemas.openxmlformats.org/officeDocument/2006/relationships/hyperlink" Target="consultantplus://offline/ref=B929134F3D6706886907B81BC0BCEEAC2F7ABCDF00F8317D2603C9777E4EA26300CB6DB8025E62722CH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D57E61B8A8F18E7A4EEC1152B5CB474D2E33401471D5C1EA73EFBA71C06A4367806A7DAD5D232u4SBE" TargetMode="External"/><Relationship Id="rId20" Type="http://schemas.openxmlformats.org/officeDocument/2006/relationships/hyperlink" Target="consultantplus://offline/ref=E6A969AE9BB234937153879D56DCFC033210F5D926F01C2A2504D851810C555C993D5C4EB34AC8Q1h4G" TargetMode="External"/><Relationship Id="rId29" Type="http://schemas.openxmlformats.org/officeDocument/2006/relationships/hyperlink" Target="garantF1://71986134.0" TargetMode="External"/><Relationship Id="rId41" Type="http://schemas.openxmlformats.org/officeDocument/2006/relationships/hyperlink" Target="consultantplus://offline/ref=5540789DA1FE03DC7544436F5EB0927CA7C224F420969A5C0A459ED73F2BA4A54AE1A26053J3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238E685AA518B88805B6B03324109E630BB167D09240210A399F9F2A5A4DEFF9C93E69B43DC7A128E7E35D560F0AE5C9AEF91EF9J2U6I" TargetMode="External"/><Relationship Id="rId11" Type="http://schemas.openxmlformats.org/officeDocument/2006/relationships/hyperlink" Target="consultantplus://offline/ref=18FD57E61B8A8F18E7A4EEC1152B5CB474D2E33401471D5C1EA73EFBA71C06A4367806A7DAD5D231u4S4E" TargetMode="External"/><Relationship Id="rId24" Type="http://schemas.openxmlformats.org/officeDocument/2006/relationships/hyperlink" Target="consultantplus://offline/ref=19762036A20000A8ED8179EC5D44E325FA28DF23C0529823B056A6D661C0EC4B5BCB0C86FFADi8G" TargetMode="External"/><Relationship Id="rId32" Type="http://schemas.openxmlformats.org/officeDocument/2006/relationships/hyperlink" Target="garantF1://70294534.1000" TargetMode="External"/><Relationship Id="rId37" Type="http://schemas.openxmlformats.org/officeDocument/2006/relationships/hyperlink" Target="consultantplus://offline/ref=B929134F3D6706886907B81BC0BCEEAC2F73B5DD0BF9317D2603C9777E4EA26300CB6DB8025E69722CH9H" TargetMode="External"/><Relationship Id="rId40" Type="http://schemas.openxmlformats.org/officeDocument/2006/relationships/hyperlink" Target="consultantplus://offline/ref=5540789DA1FE03DC7544436F5EB0927CA7C227F729909A5C0A459ED73F2BA4A54AE1A26059J3N1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AE3238E685AA518B88805B6B03324109E630BB167D09240210A399F9F2A5A4DEFF9C93E68BD36C7A128E7E35D560F0AE5C9AEF91EF9J2U6I" TargetMode="External"/><Relationship Id="rId15" Type="http://schemas.openxmlformats.org/officeDocument/2006/relationships/hyperlink" Target="consultantplus://offline/ref=18FD57E61B8A8F18E7A4EEC1152B5CB474D3EB3002481D5C1EA73EFBA71C06A4367806A7DAD6uDS1E" TargetMode="External"/><Relationship Id="rId23" Type="http://schemas.openxmlformats.org/officeDocument/2006/relationships/hyperlink" Target="consultantplus://offline/ref=19762036A20000A8ED8179EC5D44E325F924DC20C8539823B056A6D661C0EC4B5BCB0C82FCDBB395A9i8G" TargetMode="External"/><Relationship Id="rId28" Type="http://schemas.openxmlformats.org/officeDocument/2006/relationships/hyperlink" Target="garantF1://71986134.5000" TargetMode="External"/><Relationship Id="rId36" Type="http://schemas.openxmlformats.org/officeDocument/2006/relationships/hyperlink" Target="garantF1://10006192.1103" TargetMode="External"/><Relationship Id="rId10" Type="http://schemas.openxmlformats.org/officeDocument/2006/relationships/hyperlink" Target="consultantplus://offline/ref=18FD57E61B8A8F18E7A4EEC1152B5CB474D2E33401471D5C1EA73EFBA71C06A4367806A7DAD5D232u4SBE" TargetMode="External"/><Relationship Id="rId19" Type="http://schemas.openxmlformats.org/officeDocument/2006/relationships/hyperlink" Target="consultantplus://offline/ref=18FD57E61B8A8F18E7A4EEC1152B5CB477D4E73F014E1D5C1EA73EFBA71C06A4367806A7DAD5D036u4S1E" TargetMode="External"/><Relationship Id="rId31" Type="http://schemas.openxmlformats.org/officeDocument/2006/relationships/hyperlink" Target="garantF1://12051284.4123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AE3238E685AA518B88805B6B03324109E630BB566D59240210A399F9F2A5A4DFDF991326AB42BCCF267A1B651J5UFI" TargetMode="External"/><Relationship Id="rId14" Type="http://schemas.openxmlformats.org/officeDocument/2006/relationships/hyperlink" Target="consultantplus://offline/ref=EF0E94818949E2021C04524F3AD2DE7F95E01878313256D17CAD83502C38451370A01F2C520A9D67A8S2E" TargetMode="External"/><Relationship Id="rId22" Type="http://schemas.openxmlformats.org/officeDocument/2006/relationships/hyperlink" Target="consultantplus://offline/ref=19762036A20000A8ED8179EC5D44E325FA28DF23C0529823B056A6D661C0EC4B5BCB0C87F5ADiDG" TargetMode="External"/><Relationship Id="rId27" Type="http://schemas.openxmlformats.org/officeDocument/2006/relationships/hyperlink" Target="consultantplus://offline/ref=10BAE3ED701657170FCBA0D56ADF1FC67885E7C553AF7EBA0AF7CE817BF3585425521CC1D4248573x0i0G" TargetMode="External"/><Relationship Id="rId30" Type="http://schemas.openxmlformats.org/officeDocument/2006/relationships/hyperlink" Target="garantF1://10800200.23003" TargetMode="External"/><Relationship Id="rId35" Type="http://schemas.openxmlformats.org/officeDocument/2006/relationships/hyperlink" Target="garantF1://10006192.1102" TargetMode="External"/><Relationship Id="rId43" Type="http://schemas.openxmlformats.org/officeDocument/2006/relationships/hyperlink" Target="http://boguchansky-raion.ru/inova_block_contacts/contact/11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3176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2019-10-02T04:51:00Z</dcterms:created>
  <dcterms:modified xsi:type="dcterms:W3CDTF">2019-10-02T04:52:00Z</dcterms:modified>
</cp:coreProperties>
</file>